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200"/>
        <w:jc w:val="center"/>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Screening for resistance to the root burrowing nematode (</w:t>
      </w:r>
      <w:r>
        <w:rPr>
          <w:rFonts w:cs="Calibri Light" w:ascii="Calibri Light" w:hAnsi="Calibri Light" w:asciiTheme="majorHAnsi" w:cstheme="majorHAnsi" w:hAnsiTheme="majorHAnsi"/>
          <w:b/>
          <w:bCs/>
          <w:i/>
          <w:iCs/>
          <w:sz w:val="24"/>
          <w:szCs w:val="24"/>
        </w:rPr>
        <w:t>Radopholus similis</w:t>
      </w:r>
      <w:r>
        <w:rPr>
          <w:rFonts w:cs="Calibri Light" w:ascii="Calibri Light" w:hAnsi="Calibri Light" w:asciiTheme="majorHAnsi" w:cstheme="majorHAnsi" w:hAnsiTheme="majorHAnsi"/>
          <w:b/>
          <w:bCs/>
          <w:sz w:val="24"/>
          <w:szCs w:val="24"/>
        </w:rPr>
        <w:t>) in banana</w:t>
      </w:r>
    </w:p>
    <w:p>
      <w:pPr>
        <w:pStyle w:val="Normal"/>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J. Kisitu</w:t>
      </w:r>
      <w:r>
        <w:rPr>
          <w:rFonts w:cs="Calibri Light" w:ascii="Calibri Light" w:hAnsi="Calibri Light" w:asciiTheme="majorHAnsi" w:cstheme="majorHAnsi" w:hAnsiTheme="majorHAnsi"/>
          <w:vertAlign w:val="superscript"/>
        </w:rPr>
        <w:t>1</w:t>
      </w:r>
      <w:r>
        <w:rPr>
          <w:rFonts w:cs="Calibri Light" w:ascii="Calibri Light" w:hAnsi="Calibri Light" w:asciiTheme="majorHAnsi" w:cstheme="majorHAnsi" w:hAnsiTheme="majorHAnsi"/>
        </w:rPr>
        <w:t>, S. Kanan</w:t>
      </w:r>
      <w:r>
        <w:rPr>
          <w:rFonts w:cs="Calibri Light" w:ascii="Calibri Light" w:hAnsi="Calibri Light" w:asciiTheme="majorHAnsi" w:cstheme="majorHAnsi" w:hAnsiTheme="majorHAnsi"/>
          <w:vertAlign w:val="superscript"/>
        </w:rPr>
        <w:t>2</w:t>
      </w:r>
      <w:r>
        <w:rPr>
          <w:rFonts w:cs="Calibri Light" w:ascii="Calibri Light" w:hAnsi="Calibri Light" w:asciiTheme="majorHAnsi" w:cstheme="majorHAnsi" w:hAnsiTheme="majorHAnsi"/>
        </w:rPr>
        <w:t>, H. Mpanda</w:t>
      </w:r>
      <w:r>
        <w:rPr>
          <w:rFonts w:cs="Calibri Light" w:ascii="Calibri Light" w:hAnsi="Calibri Light" w:asciiTheme="majorHAnsi" w:cstheme="majorHAnsi" w:hAnsiTheme="majorHAnsi"/>
          <w:vertAlign w:val="superscript"/>
        </w:rPr>
        <w:t>3</w:t>
      </w:r>
      <w:r>
        <w:rPr>
          <w:rFonts w:cs="Calibri Light" w:ascii="Calibri Light" w:hAnsi="Calibri Light" w:asciiTheme="majorHAnsi" w:cstheme="majorHAnsi" w:hAnsiTheme="majorHAnsi"/>
        </w:rPr>
        <w:t>, V. Nakato</w:t>
      </w:r>
      <w:r>
        <w:rPr>
          <w:rFonts w:cs="Calibri Light" w:ascii="Calibri Light" w:hAnsi="Calibri Light" w:asciiTheme="majorHAnsi" w:cstheme="majorHAnsi" w:hAnsiTheme="majorHAnsi"/>
          <w:vertAlign w:val="superscript"/>
        </w:rPr>
        <w:t>1</w:t>
      </w:r>
      <w:r>
        <w:rPr>
          <w:rFonts w:cs="Calibri Light" w:ascii="Calibri Light" w:hAnsi="Calibri Light" w:asciiTheme="majorHAnsi" w:cstheme="majorHAnsi" w:hAnsiTheme="majorHAnsi"/>
        </w:rPr>
        <w:t>, D. Coyne</w:t>
      </w:r>
      <w:r>
        <w:rPr>
          <w:rFonts w:cs="Calibri Light" w:ascii="Calibri Light" w:hAnsi="Calibri Light" w:asciiTheme="majorHAnsi" w:cstheme="majorHAnsi" w:hAnsiTheme="majorHAnsi"/>
          <w:vertAlign w:val="superscript"/>
        </w:rPr>
        <w:t>2</w:t>
      </w:r>
      <w:r>
        <w:rPr>
          <w:rFonts w:cs="Calibri Light" w:ascii="Calibri Light" w:hAnsi="Calibri Light" w:asciiTheme="majorHAnsi" w:cstheme="majorHAnsi" w:hAnsiTheme="majorHAnsi"/>
        </w:rPr>
        <w:t xml:space="preserve"> </w:t>
      </w:r>
    </w:p>
    <w:p>
      <w:pPr>
        <w:pStyle w:val="Normal"/>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vertAlign w:val="superscript"/>
        </w:rPr>
        <w:t>1</w:t>
      </w:r>
      <w:r>
        <w:rPr>
          <w:rFonts w:cs="Calibri Light" w:ascii="Calibri Light" w:hAnsi="Calibri Light" w:asciiTheme="majorHAnsi" w:cstheme="majorHAnsi" w:hAnsiTheme="majorHAnsi"/>
          <w:sz w:val="20"/>
          <w:szCs w:val="20"/>
        </w:rPr>
        <w:t>International Institute of Tropical Agriculture (IITA) Uganda office; Plot 15B, East Naguru road; P.O. Box 7878; Kampala, Uganda</w:t>
      </w:r>
    </w:p>
    <w:p>
      <w:pPr>
        <w:pStyle w:val="Normal"/>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vertAlign w:val="superscript"/>
        </w:rPr>
        <w:t>2</w:t>
      </w:r>
      <w:r>
        <w:rPr>
          <w:rFonts w:cs="Calibri Light" w:ascii="Calibri Light" w:hAnsi="Calibri Light" w:asciiTheme="majorHAnsi" w:cstheme="majorHAnsi" w:hAnsiTheme="majorHAnsi"/>
          <w:sz w:val="20"/>
          <w:szCs w:val="20"/>
        </w:rPr>
        <w:t>International Institute of Tropical Agriculture (IITA) Kenya office; c/of ILRI, PO Box 30709-00100, Nairobi, Kenya</w:t>
      </w:r>
    </w:p>
    <w:p>
      <w:pPr>
        <w:pStyle w:val="Normal"/>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vertAlign w:val="superscript"/>
        </w:rPr>
        <w:t>3</w:t>
      </w:r>
      <w:r>
        <w:rPr>
          <w:rFonts w:cs="Calibri Light" w:ascii="Calibri Light" w:hAnsi="Calibri Light" w:asciiTheme="majorHAnsi" w:cstheme="majorHAnsi" w:hAnsiTheme="majorHAnsi"/>
          <w:sz w:val="20"/>
          <w:szCs w:val="20"/>
        </w:rPr>
        <w:t>International Institute of Tropical Agriculture (IITA) Tanzania office; Nelson Mandela African Institution for Science and Technology (NM-AIST); P.O. Box 447; Arusha, Tanzania</w:t>
      </w:r>
    </w:p>
    <w:p>
      <w:pPr>
        <w:pStyle w:val="Normal"/>
        <w:spacing w:before="600" w:after="20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*Correspondence: </w:t>
      </w:r>
      <w:hyperlink r:id="rId2">
        <w:r>
          <w:rPr>
            <w:rStyle w:val="InternetLink"/>
            <w:rFonts w:cs="Calibri Light" w:ascii="Calibri Light" w:hAnsi="Calibri Light" w:asciiTheme="majorHAnsi" w:cstheme="majorHAnsi" w:hAnsiTheme="majorHAnsi"/>
            <w:sz w:val="20"/>
            <w:szCs w:val="20"/>
          </w:rPr>
          <w:t>V.Nakato@cgiar.org</w:t>
        </w:r>
      </w:hyperlink>
      <w:r>
        <w:rPr>
          <w:rFonts w:cs="Calibri Light" w:ascii="Calibri Light" w:hAnsi="Calibri Light" w:asciiTheme="majorHAnsi" w:cstheme="majorHAnsi" w:hAnsiTheme="majorHAnsi"/>
          <w:sz w:val="20"/>
          <w:szCs w:val="20"/>
        </w:rPr>
        <w:t xml:space="preserve"> </w:t>
      </w:r>
      <w:bookmarkStart w:id="0" w:name="_Hlk72146306"/>
      <w:bookmarkEnd w:id="0"/>
    </w:p>
    <w:p>
      <w:pPr>
        <w:pStyle w:val="Normal"/>
        <w:spacing w:lineRule="auto" w:line="240" w:before="600" w:after="20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Introduction </w:t>
      </w:r>
    </w:p>
    <w:p>
      <w:pPr>
        <w:pStyle w:val="Normal"/>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Plant-parasitic nematodes (PPNs) such as </w:t>
      </w:r>
      <w:r>
        <w:rPr>
          <w:rFonts w:cs="Calibri Light" w:ascii="Calibri Light" w:hAnsi="Calibri Light" w:asciiTheme="majorHAnsi" w:cstheme="majorHAnsi" w:hAnsiTheme="majorHAnsi"/>
          <w:i/>
          <w:iCs/>
          <w:sz w:val="24"/>
          <w:szCs w:val="24"/>
        </w:rPr>
        <w:t xml:space="preserve">Pratylenchus </w:t>
      </w:r>
      <w:r>
        <w:rPr>
          <w:rFonts w:cs="Calibri Light" w:ascii="Calibri Light" w:hAnsi="Calibri Light" w:asciiTheme="majorHAnsi" w:cstheme="majorHAnsi" w:hAnsiTheme="majorHAnsi"/>
          <w:iCs/>
          <w:sz w:val="24"/>
          <w:szCs w:val="24"/>
        </w:rPr>
        <w:t>spp</w:t>
      </w: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i/>
          <w:iCs/>
          <w:sz w:val="24"/>
          <w:szCs w:val="24"/>
        </w:rPr>
        <w:t xml:space="preserve">Helicotylenchus </w:t>
      </w:r>
      <w:r>
        <w:rPr>
          <w:rFonts w:cs="Calibri Light" w:ascii="Calibri Light" w:hAnsi="Calibri Light" w:asciiTheme="majorHAnsi" w:cstheme="majorHAnsi" w:hAnsiTheme="majorHAnsi"/>
          <w:iCs/>
          <w:sz w:val="24"/>
          <w:szCs w:val="24"/>
        </w:rPr>
        <w:t>spp</w:t>
      </w:r>
      <w:r>
        <w:rPr>
          <w:rFonts w:cs="Calibri Light" w:ascii="Calibri Light" w:hAnsi="Calibri Light" w:asciiTheme="majorHAnsi" w:cstheme="majorHAnsi" w:hAnsiTheme="majorHAnsi"/>
          <w:sz w:val="24"/>
          <w:szCs w:val="24"/>
        </w:rPr>
        <w:t xml:space="preserve">., and </w:t>
      </w:r>
      <w:r>
        <w:rPr>
          <w:rFonts w:cs="Calibri Light" w:ascii="Calibri Light" w:hAnsi="Calibri Light" w:asciiTheme="majorHAnsi" w:cstheme="majorHAnsi" w:hAnsiTheme="majorHAnsi"/>
          <w:i/>
          <w:iCs/>
          <w:sz w:val="24"/>
          <w:szCs w:val="24"/>
        </w:rPr>
        <w:t xml:space="preserve">Radopholus </w:t>
      </w:r>
      <w:r>
        <w:rPr>
          <w:rFonts w:cs="Calibri Light" w:ascii="Calibri Light" w:hAnsi="Calibri Light" w:asciiTheme="majorHAnsi" w:cstheme="majorHAnsi" w:hAnsiTheme="majorHAnsi"/>
          <w:iCs/>
          <w:sz w:val="24"/>
          <w:szCs w:val="24"/>
        </w:rPr>
        <w:t>spp</w:t>
      </w:r>
      <w:r>
        <w:rPr>
          <w:rFonts w:cs="Calibri Light" w:ascii="Calibri Light" w:hAnsi="Calibri Light" w:asciiTheme="majorHAnsi" w:cstheme="majorHAnsi" w:hAnsiTheme="majorHAnsi"/>
          <w:sz w:val="24"/>
          <w:szCs w:val="24"/>
        </w:rPr>
        <w:t>. amongst others are a major constraint to sustainable bananas (</w:t>
      </w:r>
      <w:r>
        <w:rPr>
          <w:rFonts w:cs="Calibri Light" w:ascii="Calibri Light" w:hAnsi="Calibri Light" w:asciiTheme="majorHAnsi" w:cstheme="majorHAnsi" w:hAnsiTheme="majorHAnsi"/>
          <w:i/>
          <w:sz w:val="24"/>
          <w:szCs w:val="24"/>
        </w:rPr>
        <w:t>Musa</w:t>
      </w:r>
      <w:r>
        <w:rPr>
          <w:rFonts w:cs="Calibri Light" w:ascii="Calibri Light" w:hAnsi="Calibri Light" w:asciiTheme="majorHAnsi" w:cstheme="majorHAnsi" w:hAnsiTheme="majorHAnsi"/>
          <w:sz w:val="24"/>
          <w:szCs w:val="24"/>
        </w:rPr>
        <w:t xml:space="preserve"> spp.) production, (Stover and Simmonds 1987) and have been identified as a major factor contributing to declining production (Speijer </w:t>
      </w:r>
      <w:r>
        <w:rPr>
          <w:rFonts w:cs="Calibri Light" w:ascii="Calibri Light" w:hAnsi="Calibri Light" w:asciiTheme="majorHAnsi" w:cstheme="majorHAnsi" w:hAnsiTheme="majorHAnsi"/>
          <w:i/>
          <w:iCs/>
          <w:sz w:val="24"/>
          <w:szCs w:val="24"/>
        </w:rPr>
        <w:t>et al</w:t>
      </w:r>
      <w:r>
        <w:rPr>
          <w:rFonts w:cs="Calibri Light" w:ascii="Calibri Light" w:hAnsi="Calibri Light" w:asciiTheme="majorHAnsi" w:cstheme="majorHAnsi" w:hAnsiTheme="majorHAnsi"/>
          <w:sz w:val="24"/>
          <w:szCs w:val="24"/>
        </w:rPr>
        <w:t xml:space="preserve">., 1999) especially among small holder farmers. the root burrowing nematode, </w:t>
      </w:r>
      <w:r>
        <w:rPr>
          <w:rFonts w:cs="Calibri Light" w:ascii="Calibri Light" w:hAnsi="Calibri Light" w:asciiTheme="majorHAnsi" w:cstheme="majorHAnsi" w:hAnsiTheme="majorHAnsi"/>
          <w:i/>
          <w:iCs/>
          <w:sz w:val="24"/>
          <w:szCs w:val="24"/>
        </w:rPr>
        <w:t>Radopholus similis</w:t>
      </w:r>
      <w:r>
        <w:rPr>
          <w:rFonts w:cs="Calibri Light" w:ascii="Calibri Light" w:hAnsi="Calibri Light" w:asciiTheme="majorHAnsi" w:cstheme="majorHAnsi" w:hAnsiTheme="majorHAnsi"/>
          <w:sz w:val="24"/>
          <w:szCs w:val="24"/>
        </w:rPr>
        <w:t xml:space="preserve">, has been reported as the most destructive nematode parasite of banana in the tropics (Gowen, 1993). To avert the yield reducing constraints due to nematode infestations, timely management and control of these bio-constraints is warranted. Nematodes can be controlled with chemicals, however, most of these chemicals have adverse effects to the environment and human health </w:t>
      </w:r>
      <w:r>
        <w:fldChar w:fldCharType="begin"/>
      </w:r>
      <w:r>
        <w:rPr>
          <w:sz w:val="24"/>
          <w:szCs w:val="24"/>
          <w:rFonts w:cs="Calibri Light" w:ascii="Calibri Light" w:hAnsi="Calibri Light"/>
        </w:rPr>
        <w:instrText>ADDIN CSL_CITATION {"citationItems":[{"id":"ITEM-1","itemData":{"author":[{"dropping-particle":"","family":"Nyczepir","given":"A. P.","non-dropping-particle":"","parse-names":false,"suffix":""},{"dropping-particle":"","family":"Thomas","given":"S. H.","non-dropping-particle":"","parse-names":false,"suffix":""}],"chapter-number":"Current an","container-title":"Root-knot nematodes.","editor":[{"dropping-particle":"","family":"Perry","given":"R. N.","non-dropping-particle":"","parse-names":false,"suffix":""},{"dropping-particle":"","family":"Moens","given":"M.","non-dropping-particle":"","parse-names":false,"suffix":""},{"dropping-particle":"","family":"Starr","given":"J. L.","non-dropping-particle":"","parse-names":false,"suffix":""}],"id":"ITEM-1","issued":{"date-parts":[["2009"]]},"page":"412-443","publisher":"CAB International","publisher-place":"Wallingford, UK","title":"Current and future management strategies in intensive crop production systems","type":"chapter"},"uris":["http://www.mendeley.com/documents/?uuid=5d2be4a8-0f47-466c-8479-6f9425d72115"]}],"mendeley":{"formattedCitation":"(Nyczepir and Thomas 2009)","plainTextFormattedCitation":"(Nyczepir and Thomas 2009)","previouslyFormattedCitation":"(Nyczepir and Thomas 2009)"},"properties":{"noteIndex":0},"schema":"https://github.com/citation-style-language/schema/raw/master/csl-citation.json"}</w:instrTex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separate"/>
      </w:r>
      <w:r>
        <w:rPr>
          <w:rFonts w:cs="Calibri Light" w:ascii="Calibri Light" w:hAnsi="Calibri Light" w:asciiTheme="majorHAnsi" w:cstheme="majorHAnsi" w:hAnsiTheme="majorHAnsi"/>
          <w:sz w:val="24"/>
          <w:szCs w:val="24"/>
        </w:rPr>
        <w:t>(Nyczepir and Thomas 2009)</w: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end"/>
      </w:r>
      <w:r>
        <w:rPr>
          <w:rFonts w:cs="Calibri Light" w:ascii="Calibri Light" w:hAnsi="Calibri Light" w:asciiTheme="majorHAnsi" w:cstheme="majorHAnsi" w:hAnsiTheme="majorHAnsi"/>
          <w:sz w:val="24"/>
          <w:szCs w:val="24"/>
        </w:rPr>
        <w:t xml:space="preserve">. Furthermore, the chemical nematicides are too expensive for the small holder farmers </w:t>
      </w:r>
      <w:r>
        <w:fldChar w:fldCharType="begin"/>
      </w:r>
      <w:r>
        <w:rPr>
          <w:sz w:val="24"/>
          <w:szCs w:val="24"/>
          <w:rFonts w:cs="Calibri Light" w:ascii="Calibri Light" w:hAnsi="Calibri Light"/>
        </w:rPr>
        <w:instrText>ADDIN CSL_CITATION {"citationItems":[{"id":"ITEM-1","itemData":{"DOI":"IAEA-TECDOC-1384","ISBN":"92-0-115903-X","abstract":"FOREWORD Tissue culture technology is used for the production of doubled haploids, cryopreservation, propagating new plant varieties, conserving rare and endangered plants, difficult-to-propagate plants, and to produce secondary metabolites and transgenic plants. The production of high quality planting material of crop plants and fruit trees, propagated from vegetative parts, has created new opportunities in global trading, benefited growers, farmers, and nursery owners, and improved rural employment. However, there are still major opportunities to produce and distribute high quality planting material, e.g. crops like banana, date palm, cassava, pineapple, plantain, potato, sugarcane, sweet potato, yams, ornamentals, fruit and forest trees. The main advantage of tissue culture technology lies in the production of high quality and uniform planting material that can be multiplied on a year-round basis under disease-free conditions anywhere irrespective of the season and weather. However, the technology is capital, labor and energy intensive. Although, labor is cheap in many developing countries, the resources of trained personnel and equipment are often not readily available. In addition, energy, particularly electricity, and clean water are costly. The energy requirements for tissue culture technology depend on day temperature, day-length and relative humidity, and they have to be controlled during the process of propagation. Individual plant species also differ in their growth requirements. Hence, it is necessary to have low cost options for weaning, hardening of micropropagated plants and finally growing them in the field. This publication describes options for reducing costs to establish and operate tissue culture facilities and primarily focus on plant micropropagation. It includes papers on the basics of tissue culture technology, low cost options for the design of laboratories, use of culture media and containers, energy and labor saving, integration and adoption of low cost options, and increasing plant survival after propagation, bioreactors, and outreach of material to the growers and farmers in developing countries. Bioreactors in plant propagation can produce millions of plants and may cut down the cost of plant production, which is yet not commonly used in developing countries. However, in the near future it could be well integrated into large scale commercial micropropagation in both developed and developing countries. In all cases, such opt…","author":[{"dropping-particle":"","family":"Savangikar","given":"V. A.","non-dropping-particle":"","parse-names":false,"suffix":""}],"container-title":"Low cost options for tissue culture technology in developing countries: Proceedings of a Technical Meeting organized by the Joint FAO/IAEA Division of Nuclear Techniques in Food and Agriculture and held in Vienna, 26–30 August 2002","id":"ITEM-1","issued":{"date-parts":[["2004"]]},"page":"11-15","publisher":"International Atomic Energy Agency (IAEA)","publisher-place":"Vienna","title":"Role of low cost options in tissue culture","type":"paper-conference"},"uris":["http://www.mendeley.com/documents/?uuid=4df86811-ccc4-484b-8488-43fd121338fc"]}],"mendeley":{"formattedCitation":"(Savangikar 2004)","plainTextFormattedCitation":"(Savangikar 2004)"},"properties":{"noteIndex":0},"schema":"https://github.com/citation-style-language/schema/raw/master/csl-citation.json"}</w:instrTex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separate"/>
      </w:r>
      <w:r>
        <w:rPr>
          <w:rFonts w:cs="Calibri Light" w:ascii="Calibri Light" w:hAnsi="Calibri Light" w:asciiTheme="majorHAnsi" w:cstheme="majorHAnsi" w:hAnsiTheme="majorHAnsi"/>
          <w:sz w:val="24"/>
          <w:szCs w:val="24"/>
        </w:rPr>
        <w:t>(Savangikar 2004)</w:t>
      </w:r>
      <w:r>
        <w:rPr>
          <w:rFonts w:cs="Calibri Light" w:ascii="Calibri Light" w:hAnsi="Calibri Light" w:asciiTheme="majorHAnsi" w:cstheme="majorHAnsi" w:hAnsiTheme="majorHAnsi"/>
          <w:sz w:val="24"/>
          <w:szCs w:val="24"/>
        </w:rPr>
      </w:r>
      <w:r>
        <w:rPr>
          <w:sz w:val="24"/>
          <w:szCs w:val="24"/>
          <w:rFonts w:cs="Calibri Light" w:ascii="Calibri Light" w:hAnsi="Calibri Light"/>
        </w:rPr>
        <w:fldChar w:fldCharType="end"/>
      </w:r>
      <w:r>
        <w:rPr>
          <w:rFonts w:cs="Calibri Light" w:ascii="Calibri Light" w:hAnsi="Calibri Light" w:asciiTheme="majorHAnsi" w:cstheme="majorHAnsi" w:hAnsiTheme="majorHAnsi"/>
          <w:sz w:val="24"/>
          <w:szCs w:val="24"/>
        </w:rPr>
        <w:t xml:space="preserve">. Besides other nematode control and management strategies such as, development of nematode resistant banana genotypes through breeding is a promising strategy for the management of nematode infection in banana (Speijer and De Waele, 1997). This standard operating procedure focuses on screening banana breeding genotypes for resistance to </w:t>
      </w:r>
      <w:r>
        <w:rPr>
          <w:rFonts w:cs="Calibri Light" w:ascii="Calibri Light" w:hAnsi="Calibri Light" w:asciiTheme="majorHAnsi" w:cstheme="majorHAnsi" w:hAnsiTheme="majorHAnsi"/>
          <w:i/>
          <w:iCs/>
          <w:sz w:val="24"/>
          <w:szCs w:val="24"/>
        </w:rPr>
        <w:t>R. similis.</w:t>
      </w:r>
      <w:r>
        <w:rPr>
          <w:rFonts w:cs="Calibri Light" w:ascii="Calibri Light" w:hAnsi="Calibri Light" w:asciiTheme="majorHAnsi" w:cstheme="majorHAnsi" w:hAnsiTheme="majorHAnsi"/>
          <w:sz w:val="24"/>
          <w:szCs w:val="24"/>
        </w:rPr>
        <w:t xml:space="preserve"> </w:t>
      </w:r>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Materials and methods </w:t>
      </w:r>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Plant materials</w:t>
      </w:r>
    </w:p>
    <w:p>
      <w:pPr>
        <w:pStyle w:val="ListParagraph"/>
        <w:numPr>
          <w:ilvl w:val="0"/>
          <w:numId w:val="6"/>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TC generated plant material including: </w:t>
      </w:r>
    </w:p>
    <w:p>
      <w:pPr>
        <w:pStyle w:val="ListParagraph"/>
        <w:numPr>
          <w:ilvl w:val="0"/>
          <w:numId w:val="5"/>
        </w:numPr>
        <w:spacing w:lineRule="auto" w:line="240"/>
        <w:ind w:left="1080" w:hanging="36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Test genotypes (Parental genotypes and newly developed hybrids)</w:t>
      </w:r>
    </w:p>
    <w:p>
      <w:pPr>
        <w:pStyle w:val="ListParagraph"/>
        <w:numPr>
          <w:ilvl w:val="0"/>
          <w:numId w:val="5"/>
        </w:numPr>
        <w:spacing w:lineRule="auto" w:line="240"/>
        <w:ind w:left="1080" w:hanging="36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Resistant controls:</w:t>
      </w:r>
    </w:p>
    <w:p>
      <w:pPr>
        <w:pStyle w:val="ListParagraph"/>
        <w:numPr>
          <w:ilvl w:val="1"/>
          <w:numId w:val="7"/>
        </w:numPr>
        <w:spacing w:lineRule="auto" w:line="240"/>
        <w:ind w:left="1890" w:hanging="36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SH3142</w:t>
      </w:r>
    </w:p>
    <w:p>
      <w:pPr>
        <w:pStyle w:val="ListParagraph"/>
        <w:numPr>
          <w:ilvl w:val="1"/>
          <w:numId w:val="7"/>
        </w:numPr>
        <w:spacing w:lineRule="auto" w:line="240"/>
        <w:ind w:left="1890" w:hanging="36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Calcutta 4</w:t>
      </w:r>
    </w:p>
    <w:p>
      <w:pPr>
        <w:pStyle w:val="ListParagraph"/>
        <w:numPr>
          <w:ilvl w:val="0"/>
          <w:numId w:val="5"/>
        </w:numPr>
        <w:spacing w:lineRule="auto" w:line="240"/>
        <w:ind w:left="990" w:hanging="36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Land race controls:</w:t>
      </w:r>
    </w:p>
    <w:p>
      <w:pPr>
        <w:pStyle w:val="ListParagraph"/>
        <w:numPr>
          <w:ilvl w:val="0"/>
          <w:numId w:val="8"/>
        </w:numPr>
        <w:spacing w:lineRule="auto" w:line="240"/>
        <w:ind w:left="1980" w:hanging="45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Mbwazirume</w:t>
      </w:r>
    </w:p>
    <w:p>
      <w:pPr>
        <w:pStyle w:val="ListParagraph"/>
        <w:numPr>
          <w:ilvl w:val="0"/>
          <w:numId w:val="8"/>
        </w:numPr>
        <w:spacing w:lineRule="auto" w:line="240"/>
        <w:ind w:left="1980" w:hanging="45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Mchare</w:t>
      </w:r>
    </w:p>
    <w:p>
      <w:pPr>
        <w:pStyle w:val="ListParagraph"/>
        <w:numPr>
          <w:ilvl w:val="0"/>
          <w:numId w:val="8"/>
        </w:numPr>
        <w:spacing w:lineRule="auto" w:line="240"/>
        <w:ind w:left="1980" w:hanging="45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TM-28 OBINO LEWAI</w:t>
      </w:r>
    </w:p>
    <w:p>
      <w:pPr>
        <w:pStyle w:val="Normal"/>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 few plants of Valery and Yangambi KM5 are included a side and not as part of the experimental treatments to test the efficacy of the nematode inoculum used </w:t>
      </w:r>
    </w:p>
    <w:p>
      <w:pPr>
        <w:pStyle w:val="ListParagraph"/>
        <w:spacing w:lineRule="auto" w:line="240"/>
        <w:ind w:left="1980" w:hanging="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240"/>
        <w:rPr>
          <w:rFonts w:ascii="Calibri Light" w:hAnsi="Calibri Light" w:cs="Calibri Light" w:asciiTheme="majorHAnsi" w:cstheme="majorHAnsi" w:hAnsiTheme="majorHAnsi"/>
          <w:b/>
          <w:b/>
          <w:bCs/>
          <w:i/>
          <w:i/>
          <w:iCs/>
          <w:sz w:val="24"/>
          <w:szCs w:val="24"/>
        </w:rPr>
      </w:pPr>
      <w:bookmarkStart w:id="1" w:name="_Hlk71280836"/>
      <w:bookmarkEnd w:id="1"/>
      <w:r>
        <w:rPr>
          <w:rFonts w:cs="Calibri Light" w:ascii="Calibri Light" w:hAnsi="Calibri Light" w:asciiTheme="majorHAnsi" w:cstheme="majorHAnsi" w:hAnsiTheme="majorHAnsi"/>
          <w:b/>
          <w:bCs/>
          <w:i/>
          <w:iCs/>
          <w:sz w:val="24"/>
          <w:szCs w:val="24"/>
        </w:rPr>
        <w:t xml:space="preserve">Other materials </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Sterile forest soil</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Sterile sand </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840-micron sieves</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1-liter plastic pots</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Watering cans</w:t>
      </w:r>
    </w:p>
    <w:p>
      <w:pPr>
        <w:pStyle w:val="ListParagraph"/>
        <w:numPr>
          <w:ilvl w:val="0"/>
          <w:numId w:val="1"/>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Nematode cultures</w:t>
      </w:r>
    </w:p>
    <w:p>
      <w:pPr>
        <w:pStyle w:val="Normal"/>
        <w:spacing w:lineRule="auto" w:line="240"/>
        <w:rPr>
          <w:rFonts w:ascii="Calibri Light" w:hAnsi="Calibri Light" w:cs="Calibri Light" w:asciiTheme="majorHAnsi" w:cstheme="majorHAnsi" w:hAnsiTheme="majorHAnsi"/>
          <w:b/>
          <w:b/>
          <w:bCs/>
          <w:sz w:val="24"/>
          <w:szCs w:val="24"/>
        </w:rPr>
      </w:pPr>
      <w:bookmarkStart w:id="2" w:name="_Hlk71280836"/>
      <w:bookmarkStart w:id="3" w:name="_Hlk71281055"/>
      <w:bookmarkEnd w:id="2"/>
      <w:bookmarkEnd w:id="3"/>
      <w:r>
        <w:rPr>
          <w:rFonts w:cs="Calibri Light" w:ascii="Calibri Light" w:hAnsi="Calibri Light" w:asciiTheme="majorHAnsi" w:cstheme="majorHAnsi" w:hAnsiTheme="majorHAnsi"/>
          <w:b/>
          <w:bCs/>
          <w:sz w:val="24"/>
          <w:szCs w:val="24"/>
        </w:rPr>
        <w:t>Multiplication, weaning, and transplanting of tissue culture plantlets</w:t>
      </w:r>
    </w:p>
    <w:p>
      <w:pPr>
        <w:pStyle w:val="ListParagraph"/>
        <w:numPr>
          <w:ilvl w:val="0"/>
          <w:numId w:val="2"/>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Banana plantlets multiplied in tissue culture laboratory are weaned and maintained in a humid chamber for 4 weeks before transplanting into 1-liter plastic pots containing a 1:1 mixture of sterile forest soil and sand sieved through 2mm sieve. </w:t>
      </w:r>
    </w:p>
    <w:p>
      <w:pPr>
        <w:pStyle w:val="ListParagraph"/>
        <w:numPr>
          <w:ilvl w:val="0"/>
          <w:numId w:val="2"/>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The plantlets are left to acclimatize in the screen house for 4 weeks prior to inoculation. </w:t>
      </w:r>
    </w:p>
    <w:p>
      <w:pPr>
        <w:pStyle w:val="ListParagraph"/>
        <w:numPr>
          <w:ilvl w:val="0"/>
          <w:numId w:val="2"/>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to effect quality control of the substrate, the pre-sterilized substrate is examined for nematode contamination by subjecting it to nematode extraction and identification using the modified Baermann technique as described in Coyne et al. (2007) prior to establishment of the experiment.</w:t>
      </w:r>
    </w:p>
    <w:p>
      <w:pPr>
        <w:pStyle w:val="Normal"/>
        <w:spacing w:lineRule="auto" w:line="240"/>
        <w:rPr>
          <w:rFonts w:ascii="Calibri Light" w:hAnsi="Calibri Light" w:cs="Calibri Light" w:asciiTheme="majorHAnsi" w:cstheme="majorHAnsi" w:hAnsiTheme="majorHAnsi"/>
          <w:b/>
          <w:b/>
          <w:bCs/>
          <w:sz w:val="24"/>
          <w:szCs w:val="24"/>
        </w:rPr>
      </w:pPr>
      <w:bookmarkStart w:id="4" w:name="_Hlk71281055"/>
      <w:bookmarkEnd w:id="4"/>
      <w:r>
        <w:rPr>
          <w:rFonts w:cs="Calibri Light" w:ascii="Calibri Light" w:hAnsi="Calibri Light" w:asciiTheme="majorHAnsi" w:cstheme="majorHAnsi" w:hAnsiTheme="majorHAnsi"/>
          <w:b/>
          <w:bCs/>
          <w:sz w:val="24"/>
          <w:szCs w:val="24"/>
        </w:rPr>
        <w:t xml:space="preserve">Experimental design </w:t>
      </w:r>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Parental genotypes</w:t>
      </w:r>
    </w:p>
    <w:p>
      <w:pPr>
        <w:pStyle w:val="Normal"/>
        <w:spacing w:lineRule="auto" w:line="240"/>
        <w:rPr>
          <w:sz w:val="24"/>
          <w:szCs w:val="24"/>
        </w:rPr>
      </w:pPr>
      <w:r>
        <w:rPr>
          <w:rFonts w:cs="Calibri Light" w:ascii="Calibri Light" w:hAnsi="Calibri Light" w:asciiTheme="majorHAnsi" w:cstheme="majorHAnsi" w:hAnsiTheme="majorHAnsi"/>
          <w:sz w:val="24"/>
          <w:szCs w:val="24"/>
        </w:rPr>
        <w:t xml:space="preserve">A partially replicated experimental design (P-Rep) is adopted with parental genotype occurring in duplicate and the checks in triplicate for the entire experimental set up. P-rep designs are useful when plant materials and space are limiting factors. In fact, P-rep designs allow for repeated trial evaluations at different locations. </w:t>
      </w:r>
      <w:bookmarkStart w:id="5" w:name="_Hlk71282475"/>
      <w:r>
        <w:rPr>
          <w:rFonts w:cs="Calibri Light" w:ascii="Calibri Light" w:hAnsi="Calibri Light" w:asciiTheme="majorHAnsi" w:cstheme="majorHAnsi" w:hAnsiTheme="majorHAnsi"/>
          <w:sz w:val="24"/>
          <w:szCs w:val="24"/>
        </w:rPr>
        <w:t>The experimental design as will be laid out in a screen house for the available 51 parental genotypes including checks is shown in Table 1 below.</w:t>
      </w:r>
      <w:bookmarkEnd w:id="5"/>
      <w:r>
        <w:rPr>
          <w:rFonts w:cs="Calibri Light" w:ascii="Calibri Light" w:hAnsi="Calibri Light" w:asciiTheme="majorHAnsi" w:cstheme="majorHAnsi" w:hAnsiTheme="majorHAnsi"/>
          <w:sz w:val="24"/>
          <w:szCs w:val="24"/>
        </w:rPr>
        <w:t xml:space="preserve"> The average efficiency for this design was 0.99 indicating that the design is optimal.</w:t>
      </w:r>
    </w:p>
    <w:p>
      <w:pPr>
        <w:pStyle w:val="Normal"/>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b/>
          <w:bCs/>
          <w:sz w:val="24"/>
          <w:szCs w:val="24"/>
        </w:rPr>
        <w:t>Table 1.</w:t>
      </w:r>
      <w:r>
        <w:rPr>
          <w:rFonts w:cs="Calibri Light" w:ascii="Calibri Light" w:hAnsi="Calibri Light" w:asciiTheme="majorHAnsi" w:cstheme="majorHAnsi" w:hAnsiTheme="majorHAnsi"/>
          <w:sz w:val="24"/>
          <w:szCs w:val="24"/>
        </w:rPr>
        <w:t xml:space="preserve"> </w:t>
      </w:r>
      <w:r>
        <w:rPr>
          <w:rFonts w:eastAsia="Times New Roman" w:cs="Calibri Light" w:ascii="Calibri Light" w:hAnsi="Calibri Light" w:asciiTheme="majorHAnsi" w:cstheme="majorHAnsi" w:hAnsiTheme="majorHAnsi"/>
          <w:b/>
          <w:bCs/>
          <w:color w:val="000000"/>
          <w:sz w:val="24"/>
          <w:szCs w:val="24"/>
        </w:rPr>
        <w:t>P-rep lay out for banana nematode screening for 51 parental lines including controls</w:t>
      </w:r>
    </w:p>
    <w:tbl>
      <w:tblPr>
        <w:tblW w:w="836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078"/>
        <w:gridCol w:w="740"/>
        <w:gridCol w:w="728"/>
        <w:gridCol w:w="726"/>
        <w:gridCol w:w="728"/>
        <w:gridCol w:w="727"/>
        <w:gridCol w:w="726"/>
        <w:gridCol w:w="728"/>
        <w:gridCol w:w="726"/>
        <w:gridCol w:w="728"/>
        <w:gridCol w:w="725"/>
      </w:tblGrid>
      <w:tr>
        <w:trPr>
          <w:trHeight w:val="311" w:hRule="atLeast"/>
        </w:trPr>
        <w:tc>
          <w:tcPr>
            <w:tcW w:w="1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000000"/>
                <w:sz w:val="24"/>
                <w:szCs w:val="24"/>
              </w:rPr>
              <w:t>Block1</w:t>
            </w:r>
          </w:p>
        </w:tc>
        <w:tc>
          <w:tcPr>
            <w:tcW w:w="74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29</w:t>
            </w:r>
          </w:p>
        </w:tc>
        <w:tc>
          <w:tcPr>
            <w:tcW w:w="72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6</w:t>
            </w:r>
          </w:p>
        </w:tc>
        <w:tc>
          <w:tcPr>
            <w:tcW w:w="72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42</w:t>
            </w:r>
          </w:p>
        </w:tc>
        <w:tc>
          <w:tcPr>
            <w:tcW w:w="72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S5</w:t>
            </w:r>
          </w:p>
        </w:tc>
        <w:tc>
          <w:tcPr>
            <w:tcW w:w="727"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24</w:t>
            </w:r>
          </w:p>
        </w:tc>
        <w:tc>
          <w:tcPr>
            <w:tcW w:w="72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47</w:t>
            </w:r>
          </w:p>
        </w:tc>
        <w:tc>
          <w:tcPr>
            <w:tcW w:w="72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27</w:t>
            </w:r>
          </w:p>
        </w:tc>
        <w:tc>
          <w:tcPr>
            <w:tcW w:w="72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28</w:t>
            </w:r>
          </w:p>
        </w:tc>
        <w:tc>
          <w:tcPr>
            <w:tcW w:w="72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17</w:t>
            </w:r>
          </w:p>
        </w:tc>
        <w:tc>
          <w:tcPr>
            <w:tcW w:w="72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11</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45</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10</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39</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38</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19</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15</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44</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S6</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S2</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37</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26</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50</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32</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18</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43</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48</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49</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33</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9</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36</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22</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S3</w:t>
            </w:r>
          </w:p>
        </w:tc>
      </w:tr>
      <w:tr>
        <w:trPr>
          <w:trHeight w:val="311" w:hRule="atLeast"/>
        </w:trPr>
        <w:tc>
          <w:tcPr>
            <w:tcW w:w="107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000000"/>
                <w:sz w:val="24"/>
                <w:szCs w:val="24"/>
              </w:rPr>
              <w:t>Block2</w:t>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39</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S4</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S2</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28</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45</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23</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19</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35</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S6</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7</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20</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16</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48</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26</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31</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30</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38</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18</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50</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49</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10</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25</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S1</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8</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40</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FF0000"/>
                <w:sz w:val="24"/>
                <w:szCs w:val="24"/>
              </w:rPr>
            </w:pPr>
            <w:r>
              <w:rPr>
                <w:rFonts w:eastAsia="Times New Roman" w:cs="Calibri Light" w:ascii="Calibri Light" w:hAnsi="Calibri Light" w:asciiTheme="majorHAnsi" w:cstheme="majorHAnsi" w:hAnsiTheme="majorHAnsi"/>
                <w:b/>
                <w:bCs/>
                <w:color w:val="FF0000"/>
                <w:sz w:val="24"/>
                <w:szCs w:val="24"/>
              </w:rPr>
              <w:t>S3</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46</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12</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47</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S5</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13</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33</w:t>
            </w:r>
          </w:p>
        </w:tc>
      </w:tr>
      <w:tr>
        <w:trPr>
          <w:trHeight w:val="311" w:hRule="atLeast"/>
        </w:trPr>
        <w:tc>
          <w:tcPr>
            <w:tcW w:w="107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000000"/>
                <w:sz w:val="24"/>
                <w:szCs w:val="24"/>
              </w:rPr>
              <w:t>Block3</w:t>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27</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41</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43</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FF0000"/>
                <w:sz w:val="24"/>
                <w:szCs w:val="24"/>
              </w:rPr>
            </w:pPr>
            <w:r>
              <w:rPr>
                <w:rFonts w:eastAsia="Times New Roman" w:cs="Calibri Light" w:ascii="Calibri Light" w:hAnsi="Calibri Light" w:asciiTheme="majorHAnsi" w:cstheme="majorHAnsi" w:hAnsiTheme="majorHAnsi"/>
                <w:b/>
                <w:bCs/>
                <w:color w:val="FF0000"/>
                <w:sz w:val="24"/>
                <w:szCs w:val="24"/>
              </w:rPr>
              <w:t>S3</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S6</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35</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13</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36</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51</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11</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46</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29</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42</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21</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16</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40</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30</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FF0000"/>
                <w:sz w:val="24"/>
                <w:szCs w:val="24"/>
              </w:rPr>
              <w:t>S5</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6</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20</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FF0000"/>
                <w:sz w:val="24"/>
                <w:szCs w:val="24"/>
              </w:rPr>
            </w:pPr>
            <w:r>
              <w:rPr>
                <w:rFonts w:eastAsia="Times New Roman" w:cs="Calibri Light" w:ascii="Calibri Light" w:hAnsi="Calibri Light" w:asciiTheme="majorHAnsi" w:cstheme="majorHAnsi" w:hAnsiTheme="majorHAnsi"/>
                <w:b/>
                <w:bCs/>
                <w:color w:val="FF0000"/>
                <w:sz w:val="24"/>
                <w:szCs w:val="24"/>
              </w:rPr>
              <w:t>S4</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34</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25</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22</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32</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37</w:t>
            </w:r>
          </w:p>
        </w:tc>
      </w:tr>
      <w:tr>
        <w:trPr>
          <w:trHeight w:val="311" w:hRule="atLeast"/>
        </w:trPr>
        <w:tc>
          <w:tcPr>
            <w:tcW w:w="107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left"/>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cstheme="majorHAnsi" w:ascii="Calibri Light" w:hAnsi="Calibri Light"/>
                <w:b/>
                <w:bCs/>
                <w:color w:val="000000"/>
                <w:sz w:val="24"/>
                <w:szCs w:val="24"/>
              </w:rPr>
            </w:r>
          </w:p>
        </w:tc>
        <w:tc>
          <w:tcPr>
            <w:tcW w:w="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15</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8</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12</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17</w:t>
            </w:r>
          </w:p>
        </w:tc>
        <w:tc>
          <w:tcPr>
            <w:tcW w:w="72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b/>
                <w:b/>
                <w:bCs/>
                <w:color w:val="FF0000"/>
                <w:sz w:val="24"/>
                <w:szCs w:val="24"/>
              </w:rPr>
            </w:pPr>
            <w:r>
              <w:rPr>
                <w:rFonts w:eastAsia="Times New Roman" w:cs="Calibri Light" w:ascii="Calibri Light" w:hAnsi="Calibri Light" w:asciiTheme="majorHAnsi" w:cstheme="majorHAnsi" w:hAnsiTheme="majorHAnsi"/>
                <w:b/>
                <w:bCs/>
                <w:color w:val="FF0000"/>
                <w:sz w:val="24"/>
                <w:szCs w:val="24"/>
              </w:rPr>
              <w:t>S2</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9</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3</w:t>
            </w:r>
          </w:p>
        </w:tc>
        <w:tc>
          <w:tcPr>
            <w:tcW w:w="72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23</w:t>
            </w:r>
          </w:p>
        </w:tc>
        <w:tc>
          <w:tcPr>
            <w:tcW w:w="72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7</w:t>
            </w:r>
          </w:p>
        </w:tc>
        <w:tc>
          <w:tcPr>
            <w:tcW w:w="72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Light" w:hAnsi="Calibri Light" w:eastAsia="Times New Roman" w:cs="Calibri Light" w:asciiTheme="majorHAnsi" w:cstheme="majorHAnsi" w:hAnsiTheme="majorHAnsi"/>
                <w:color w:val="000000"/>
                <w:sz w:val="24"/>
                <w:szCs w:val="24"/>
              </w:rPr>
            </w:pPr>
            <w:r>
              <w:rPr>
                <w:rFonts w:eastAsia="Times New Roman" w:cs="Calibri Light" w:ascii="Calibri Light" w:hAnsi="Calibri Light" w:asciiTheme="majorHAnsi" w:cstheme="majorHAnsi" w:hAnsiTheme="majorHAnsi"/>
                <w:color w:val="000000"/>
                <w:sz w:val="24"/>
                <w:szCs w:val="24"/>
              </w:rPr>
              <w:t>5</w:t>
            </w:r>
          </w:p>
        </w:tc>
      </w:tr>
    </w:tbl>
    <w:p>
      <w:pPr>
        <w:pStyle w:val="Normal"/>
        <w:spacing w:lineRule="auto" w:line="240"/>
        <w:rPr>
          <w:rFonts w:ascii="Calibri Light" w:hAnsi="Calibri Light" w:cs="Calibri Light" w:asciiTheme="majorHAnsi" w:cstheme="majorHAnsi" w:hAnsiTheme="majorHAnsi"/>
          <w:i/>
          <w:i/>
          <w:iCs/>
          <w:sz w:val="24"/>
          <w:szCs w:val="24"/>
        </w:rPr>
      </w:pPr>
      <w:r>
        <w:rPr>
          <w:rFonts w:cs="Calibri Light" w:ascii="Calibri Light" w:hAnsi="Calibri Light" w:asciiTheme="majorHAnsi" w:cstheme="majorHAnsi" w:hAnsiTheme="majorHAnsi"/>
          <w:b/>
          <w:bCs/>
          <w:i/>
          <w:iCs/>
          <w:sz w:val="24"/>
          <w:szCs w:val="24"/>
        </w:rPr>
        <w:t>Note:</w:t>
      </w:r>
      <w:r>
        <w:rPr>
          <w:rFonts w:cs="Calibri Light" w:ascii="Calibri Light" w:hAnsi="Calibri Light" w:asciiTheme="majorHAnsi" w:cstheme="majorHAnsi" w:hAnsiTheme="majorHAnsi"/>
          <w:i/>
          <w:iCs/>
          <w:sz w:val="24"/>
          <w:szCs w:val="24"/>
        </w:rPr>
        <w:t xml:space="preserve"> Numbers used in the blocks represent respective genotypes to be screened, and the alphanumerical characters represent controls in each block. The trial will comprise of 5 pseudo replicates per plot and 2 plots (hence 2 true replicates) in the entire trial for each test parental banana genotype.</w:t>
      </w:r>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 xml:space="preserve">Hybrids </w:t>
      </w:r>
    </w:p>
    <w:p>
      <w:pPr>
        <w:pStyle w:val="Normal"/>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augmented design resulting into an incomplete block design where standard checks are replicated in each block and test genotypes will be adopted for the hybrids. Such augmented designs are very useful where very large numbers of hybrids are produced with limited planting materials and reduced space.</w:t>
      </w:r>
      <w:bookmarkStart w:id="6" w:name="_Hlk71281227"/>
      <w:bookmarkEnd w:id="6"/>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Inoculum preparation and Inoculation</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After isolation and multiplication of </w:t>
      </w:r>
      <w:r>
        <w:rPr>
          <w:rFonts w:cs="Calibri Light" w:ascii="Calibri Light" w:hAnsi="Calibri Light" w:asciiTheme="majorHAnsi" w:cstheme="majorHAnsi" w:hAnsiTheme="majorHAnsi"/>
          <w:i/>
          <w:iCs/>
          <w:sz w:val="24"/>
          <w:szCs w:val="24"/>
        </w:rPr>
        <w:t>R. similis</w:t>
      </w:r>
      <w:r>
        <w:rPr>
          <w:rFonts w:cs="Calibri Light" w:ascii="Calibri Light" w:hAnsi="Calibri Light" w:asciiTheme="majorHAnsi" w:cstheme="majorHAnsi" w:hAnsiTheme="majorHAnsi"/>
          <w:sz w:val="24"/>
          <w:szCs w:val="24"/>
        </w:rPr>
        <w:t xml:space="preserve"> (annexes 1, 2, &amp; 3), nematodes are washed from carrot discs and petri dish inner surfaces and suspended in water in a 500ml conical flask to the 500ml mark to form a stock suspension</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Determine the concentration of the stock solution by taking and quantifying (using a compound microscope) three 2ml aliquots of nematode suspension from the stock suspension.</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Basing on the concentration, constitute a working suspension from the stock suspension and transfer into another 500ml conical flask</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Prior to inoculation, calibrate a pipette to draw 250 nematodes per inoculation aliquot. An inoculation volume not less than 4ml suspension should be used</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Drill 4 holes (~5cm) at the plant base using a pencil and introduce 250 nematodes per hole using a pipette to make 1000 nematodes per plant, cover back the holes with soil after inoculation.</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Plants are drenched with soluble NPK following a bi-weekly interval at a rate of 2.5gL</w:t>
      </w:r>
      <w:r>
        <w:rPr>
          <w:rFonts w:cs="Calibri Light" w:ascii="Calibri Light" w:hAnsi="Calibri Light" w:asciiTheme="majorHAnsi" w:cstheme="majorHAnsi" w:hAnsiTheme="majorHAnsi"/>
          <w:sz w:val="24"/>
          <w:szCs w:val="24"/>
          <w:vertAlign w:val="superscript"/>
        </w:rPr>
        <w:t>-1</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Uproot and observe the susceptible check plants (Valery) for nematode multiplication and necrosis to inform termination of the main experiment. </w:t>
      </w:r>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Nematode damage assessment</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Individual plants in respective pots are removed after softening the soil by watering</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Wash plant roots under running tap water to free the plants of any debris</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Harvest and weigh all roots from the corm </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Sort the roots into functional (OK) or dead (DE) and count the total number of roots in each group</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Select Ten (10) roots for root necrosis assessment</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Each of the 10 roots is chopped to a length of 5cm </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5cm root segments are dissected longitudinally to expose the cortical region</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For each root segment, one side of the exposed cortical regions is used to score for necrosis</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Each longitudinal root section is scored at scale of 20 for cortical necrosis and the score value expressed as a percentage</w:t>
      </w:r>
    </w:p>
    <w:p>
      <w:pPr>
        <w:pStyle w:val="ListParagraph"/>
        <w:spacing w:lineRule="auto" w:line="240"/>
        <w:rPr>
          <w:rFonts w:ascii="Times New Roman" w:hAnsi="Times New Roman" w:cs="Times New Roman"/>
          <w:sz w:val="24"/>
          <w:szCs w:val="24"/>
        </w:rPr>
      </w:pPr>
      <w:r>
        <w:rPr>
          <w:rFonts w:cs="Calibri Light" w:ascii="Calibri Light" w:hAnsi="Calibri Light" w:asciiTheme="majorHAnsi" w:cstheme="majorHAnsi" w:hAnsiTheme="majorHAnsi"/>
          <w:sz w:val="24"/>
          <w:szCs w:val="24"/>
        </w:rPr>
        <w:t xml:space="preserve">Root necrosis data will be analyzed using the linear mixed models (random) under REML: </w:t>
      </w:r>
      <w:r>
        <w:rPr>
          <w:rFonts w:cs="Calibri Light" w:ascii="Calibri Light" w:hAnsi="Calibri Light" w:asciiTheme="majorHAnsi" w:cstheme="majorHAnsi" w:hAnsiTheme="majorHAnsi"/>
          <w:i/>
          <w:iCs/>
          <w:sz w:val="24"/>
          <w:szCs w:val="24"/>
        </w:rPr>
        <w:t>Genotype response = μ+ check effect + block effect + treatment effect + error</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After scoring for necrosis, all roots from an individual plant are chopped into about 0.5cm pieces including the strands used in scoring for necrosis</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chopped pieces are homogenized and 10g of the homogenate used in nematode extraction using the modified Baermann technique as described in Coyne et al. (2007) as described above</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After extraction, the nematode suspension is decanted to 25ml from which three 2ml aliquots are pipetted to compute for nematode density</w:t>
      </w:r>
    </w:p>
    <w:p>
      <w:pPr>
        <w:pStyle w:val="ListParagraph"/>
        <w:numPr>
          <w:ilvl w:val="0"/>
          <w:numId w:val="4"/>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nematode density of each plant is subjected to plant root weight adjustment to obtain to total nematode population for each plant root system</w:t>
      </w:r>
    </w:p>
    <w:p>
      <w:pPr>
        <w:pStyle w:val="Normal"/>
        <w:spacing w:lineRule="auto" w:line="24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REFFERENCES</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Gowen, S.R (1993). Yield losses caused by nematodes on different banana varieties and some management techniques appropriate for farmers in Africa. Pp. 199-208 in Biological and integrated control of highland banana and plantain pests and diseases. Proceedings of a research coordination meeting. Cotonou, Bénin, 12-14 November 1991 (C.S. Gold &amp; B. Gemmill, eds.). International Institute of Tropical Agriculture, Ibadan, Nigeria.</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Nyczepir, A. P., and Thomas, S. H. 2009. Current and future management strategies in intensive crop production systems. In Root-knot nematodes., eds. R. N. Perry, M. Moens, and J. L. Starr. Wallingford, UK: CAB International, p. 412–443.</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Savangikar, V. A. 2004. Role of low cost options in tissue culture. In Low cost options for tissue culture technology in developing countries: Proceedings of a Technical Meeting organized by the Joint FAO/IAEA Division of Nuclear Techniques in Food and Agriculture and held in Vienna, 26–30 August 2002, Vienna: International Atomic Energy Agency (IAEA), p. 11–15</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Speijer, P.R. and De Waele, D (1997). Screening of Musa germplasm for resistance and tolerance to nematodes. INIBAP Technical Guidelines 1. International Plant Genetic Resources Institute, Rome, Italy; International Network for the Improvement of Banana and Plantain, Montpellier, France; ACP-EU Technical Centre for Agricultural and Rural Coop</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Speijer, P.R., Kajumba, C. and Ssango, F (1999). East African highland banana production as influenced by nematodes and crop management in Uganda. International Journal of Pest Management 45: 41-49</w:t>
      </w:r>
    </w:p>
    <w:p>
      <w:pPr>
        <w:pStyle w:val="Normal"/>
        <w:spacing w:lineRule="auto" w:line="240"/>
        <w:ind w:left="567" w:hanging="567"/>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Stover, R.H and Simmonds, N.W (1987). Banana. 3rd ed. Longman Scientific and Technical, London, UK.</w:t>
      </w:r>
    </w:p>
    <w:p>
      <w:pPr>
        <w:pStyle w:val="Normal"/>
        <w:spacing w:lineRule="auto" w:line="240"/>
        <w:ind w:left="567" w:hanging="567"/>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Annexes </w:t>
      </w:r>
    </w:p>
    <w:p>
      <w:pPr>
        <w:pStyle w:val="Normal"/>
        <w:spacing w:lineRule="auto" w:line="240"/>
        <w:ind w:left="567" w:hanging="567"/>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Annex 1: Isolation and multiplication of </w:t>
      </w:r>
      <w:r>
        <w:rPr>
          <w:rFonts w:cs="Calibri Light" w:ascii="Calibri Light" w:hAnsi="Calibri Light" w:asciiTheme="majorHAnsi" w:cstheme="majorHAnsi" w:hAnsiTheme="majorHAnsi"/>
          <w:b/>
          <w:bCs/>
          <w:i/>
          <w:iCs/>
          <w:sz w:val="24"/>
          <w:szCs w:val="24"/>
        </w:rPr>
        <w:t>R.similis</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Banana roots infected with nematodes are obtained from the field, cleaned with tap water to free them of soil debris</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The roots are then subjected to nematode extraction by cutting them into ca. 1cm pieces, blended and subjected to nematode extraction using the modified Baermann technique as described in Coyne </w:t>
      </w:r>
      <w:r>
        <w:rPr>
          <w:rFonts w:cs="Calibri Light" w:ascii="Calibri Light" w:hAnsi="Calibri Light" w:asciiTheme="majorHAnsi" w:cstheme="majorHAnsi" w:hAnsiTheme="majorHAnsi"/>
          <w:i/>
          <w:sz w:val="24"/>
          <w:szCs w:val="24"/>
        </w:rPr>
        <w:t>et al</w:t>
      </w:r>
      <w:r>
        <w:rPr>
          <w:rFonts w:cs="Calibri Light" w:ascii="Calibri Light" w:hAnsi="Calibri Light" w:asciiTheme="majorHAnsi" w:cstheme="majorHAnsi" w:hAnsiTheme="majorHAnsi"/>
          <w:sz w:val="24"/>
          <w:szCs w:val="24"/>
        </w:rPr>
        <w:t>. (2007)</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nematode suspension is then collected from the Modified Baermann tray set up into a baby jar</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After decanting the nematodes to 25ml volume, 2ml aliquots are pipetted into a nematode counting slide and identified under a stereo microscope</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Using morphological features, </w:t>
      </w:r>
      <w:r>
        <w:rPr>
          <w:rFonts w:cs="Calibri Light" w:ascii="Calibri Light" w:hAnsi="Calibri Light" w:asciiTheme="majorHAnsi" w:cstheme="majorHAnsi" w:hAnsiTheme="majorHAnsi"/>
          <w:i/>
          <w:iCs/>
          <w:sz w:val="24"/>
          <w:szCs w:val="24"/>
        </w:rPr>
        <w:t>R. similis</w:t>
      </w:r>
      <w:r>
        <w:rPr>
          <w:rFonts w:cs="Calibri Light" w:ascii="Calibri Light" w:hAnsi="Calibri Light" w:asciiTheme="majorHAnsi" w:cstheme="majorHAnsi" w:hAnsiTheme="majorHAnsi"/>
          <w:sz w:val="24"/>
          <w:szCs w:val="24"/>
        </w:rPr>
        <w:t xml:space="preserve"> females and juveniles are picked from the suspension using a wire loop, </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picked nematodes are then sterilized using streptomycin sulphate and transferred to readily prepared carrot discs in petri-dishes under a lamina flow hood</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The nematodes are then left to multiply in an incubator with temperature set at 28 </w:t>
      </w:r>
      <w:r>
        <w:rPr>
          <w:rFonts w:cs="Calibri Light" w:ascii="Calibri Light" w:hAnsi="Calibri Light" w:asciiTheme="majorHAnsi" w:cstheme="majorHAnsi" w:hAnsiTheme="majorHAnsi"/>
          <w:sz w:val="24"/>
          <w:szCs w:val="24"/>
          <w:vertAlign w:val="superscript"/>
        </w:rPr>
        <w:t>o</w:t>
      </w:r>
      <w:r>
        <w:rPr>
          <w:rFonts w:cs="Calibri Light" w:ascii="Calibri Light" w:hAnsi="Calibri Light" w:asciiTheme="majorHAnsi" w:cstheme="majorHAnsi" w:hAnsiTheme="majorHAnsi"/>
          <w:sz w:val="24"/>
          <w:szCs w:val="24"/>
        </w:rPr>
        <w:t>c</w:t>
      </w:r>
    </w:p>
    <w:p>
      <w:pPr>
        <w:pStyle w:val="Normal"/>
        <w:spacing w:lineRule="auto" w:line="240"/>
        <w:ind w:left="567" w:hanging="567"/>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Annex 2: Sub-culturing of </w:t>
      </w:r>
      <w:r>
        <w:rPr>
          <w:rFonts w:cs="Calibri Light" w:ascii="Calibri Light" w:hAnsi="Calibri Light" w:asciiTheme="majorHAnsi" w:cstheme="majorHAnsi" w:hAnsiTheme="majorHAnsi"/>
          <w:b/>
          <w:bCs/>
          <w:i/>
          <w:iCs/>
          <w:sz w:val="24"/>
          <w:szCs w:val="24"/>
        </w:rPr>
        <w:t>R. similis</w:t>
      </w:r>
      <w:r>
        <w:rPr>
          <w:rFonts w:cs="Calibri Light" w:ascii="Calibri Light" w:hAnsi="Calibri Light" w:asciiTheme="majorHAnsi" w:cstheme="majorHAnsi" w:hAnsiTheme="majorHAnsi"/>
          <w:b/>
          <w:bCs/>
          <w:sz w:val="24"/>
          <w:szCs w:val="24"/>
        </w:rPr>
        <w:t xml:space="preserve"> on carrot disks</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Select good discs containing nematodes</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Wash nematodes from the petri dish (2 ml suspension) into sterile test tube.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Each petri dish should be washed into an individual test tube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Prepare an ant-biotic solution by dissolving 0.06g of ant-biotic (streptomycin sulphate) in 10 ml of sterile and distilled water.</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Using a syringe, suck in the ant-biotic solution</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Fit the micro filter on the syringe (2 µm pore size)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Release the solution through the micro filter into a sterile test tube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Pipette 2.5 ml of the solution to each test tube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Add 3 ml to each test tube. The final volume will be 7.5 ml</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Leave the samples to stand for about 2 hours</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Wash sample by Pipetting/reducing the sample volume to a negligible volume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Add 5 ml of sterile and distilled water to each sample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Leave sample to stand for 1 hour</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Again wash samples by pipetting/reducing sample volume to a negligible volume</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Add 3 ml of sterile and distilled water</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Leave the samples to stand for 30 s</w:t>
      </w:r>
    </w:p>
    <w:p>
      <w:pPr>
        <w:pStyle w:val="ListParagraph"/>
        <w:numPr>
          <w:ilvl w:val="0"/>
          <w:numId w:val="9"/>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Add to the sample little volume of water (sterile and distilled) enough to inoculate the previously prepared carrot discs</w:t>
      </w:r>
    </w:p>
    <w:p>
      <w:pPr>
        <w:pStyle w:val="Normal"/>
        <w:spacing w:lineRule="auto" w:line="240"/>
        <w:ind w:left="567" w:hanging="567"/>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Annex 3: Preparation of carrot discs for nematode culturing</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Select clean and sizeable carrots from market</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Wash the carrot with tape water and rinse with distilled water</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Dry the carrot by wiping them with a tissue paper</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Under the aseptic hood, hold the carrot with a pair of forceps</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Spray the carrot with 96 % ethanol and flame until it is dry</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Peel the carrot lightly with a potato peeler</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Again spray ethanol on the peeled carrot and flame until it is dry</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Peel the carrot and the cut it into sizeable disks that in your petri dishes</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Introduce the discs into petri-dishes</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Inoculate 2-3 micro drops (50-100 nematodes/micro drop) of previously prepared nematode suspension per disc</w:t>
      </w:r>
    </w:p>
    <w:p>
      <w:pPr>
        <w:pStyle w:val="ListParagraph"/>
        <w:numPr>
          <w:ilvl w:val="0"/>
          <w:numId w:val="10"/>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Seal the petri-dishes with a parafilm</w:t>
      </w:r>
    </w:p>
    <w:p>
      <w:pPr>
        <w:pStyle w:val="ListParagraph"/>
        <w:numPr>
          <w:ilvl w:val="0"/>
          <w:numId w:val="10"/>
        </w:numPr>
        <w:spacing w:lineRule="auto" w:line="240" w:before="240" w:after="20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Put the sealed petri-dishes into a container and place in an incubator at 28 °C</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orbel">
    <w:charset w:val="01"/>
    <w:family w:val="roman"/>
    <w:pitch w:val="variable"/>
  </w:font>
  <w:font w:name="Calibri Light">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Roman"/>
      <w:lvlText w:val="%1."/>
      <w:lvlJc w:val="right"/>
      <w:pPr>
        <w:tabs>
          <w:tab w:val="num" w:pos="0"/>
        </w:tabs>
        <w:ind w:left="2070" w:hanging="360"/>
      </w:pPr>
    </w:lvl>
    <w:lvl w:ilvl="1">
      <w:start w:val="1"/>
      <w:numFmt w:val="lowerLetter"/>
      <w:lvlText w:val="%2."/>
      <w:lvlJc w:val="left"/>
      <w:pPr>
        <w:tabs>
          <w:tab w:val="num" w:pos="0"/>
        </w:tabs>
        <w:ind w:left="2790" w:hanging="360"/>
      </w:pPr>
    </w:lvl>
    <w:lvl w:ilvl="2">
      <w:start w:val="1"/>
      <w:numFmt w:val="lowerRoman"/>
      <w:lvlText w:val="%3."/>
      <w:lvlJc w:val="right"/>
      <w:pPr>
        <w:tabs>
          <w:tab w:val="num" w:pos="0"/>
        </w:tabs>
        <w:ind w:left="3510" w:hanging="180"/>
      </w:pPr>
    </w:lvl>
    <w:lvl w:ilvl="3">
      <w:start w:val="1"/>
      <w:numFmt w:val="decimal"/>
      <w:lvlText w:val="%4."/>
      <w:lvlJc w:val="left"/>
      <w:pPr>
        <w:tabs>
          <w:tab w:val="num" w:pos="0"/>
        </w:tabs>
        <w:ind w:left="4230" w:hanging="360"/>
      </w:pPr>
    </w:lvl>
    <w:lvl w:ilvl="4">
      <w:start w:val="1"/>
      <w:numFmt w:val="lowerLetter"/>
      <w:lvlText w:val="%5."/>
      <w:lvlJc w:val="left"/>
      <w:pPr>
        <w:tabs>
          <w:tab w:val="num" w:pos="0"/>
        </w:tabs>
        <w:ind w:left="4950" w:hanging="360"/>
      </w:pPr>
    </w:lvl>
    <w:lvl w:ilvl="5">
      <w:start w:val="1"/>
      <w:numFmt w:val="lowerRoman"/>
      <w:lvlText w:val="%6."/>
      <w:lvlJc w:val="right"/>
      <w:pPr>
        <w:tabs>
          <w:tab w:val="num" w:pos="0"/>
        </w:tabs>
        <w:ind w:left="5670" w:hanging="180"/>
      </w:pPr>
    </w:lvl>
    <w:lvl w:ilvl="6">
      <w:start w:val="1"/>
      <w:numFmt w:val="decimal"/>
      <w:lvlText w:val="%7."/>
      <w:lvlJc w:val="left"/>
      <w:pPr>
        <w:tabs>
          <w:tab w:val="num" w:pos="0"/>
        </w:tabs>
        <w:ind w:left="6390" w:hanging="360"/>
      </w:pPr>
    </w:lvl>
    <w:lvl w:ilvl="7">
      <w:start w:val="1"/>
      <w:numFmt w:val="lowerLetter"/>
      <w:lvlText w:val="%8."/>
      <w:lvlJc w:val="left"/>
      <w:pPr>
        <w:tabs>
          <w:tab w:val="num" w:pos="0"/>
        </w:tabs>
        <w:ind w:left="7110" w:hanging="360"/>
      </w:pPr>
    </w:lvl>
    <w:lvl w:ilvl="8">
      <w:start w:val="1"/>
      <w:numFmt w:val="lowerRoman"/>
      <w:lvlText w:val="%9."/>
      <w:lvlJc w:val="right"/>
      <w:pPr>
        <w:tabs>
          <w:tab w:val="num" w:pos="0"/>
        </w:tabs>
        <w:ind w:left="783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f8a"/>
    <w:pPr>
      <w:widowControl/>
      <w:bidi w:val="0"/>
      <w:spacing w:lineRule="auto" w:line="276" w:before="240" w:after="200"/>
      <w:jc w:val="both"/>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63d2a"/>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2a1788"/>
    <w:rPr>
      <w:sz w:val="20"/>
      <w:szCs w:val="20"/>
    </w:rPr>
  </w:style>
  <w:style w:type="character" w:styleId="FootnoteCharacters">
    <w:name w:val="Footnote Characters"/>
    <w:basedOn w:val="DefaultParagraphFont"/>
    <w:uiPriority w:val="99"/>
    <w:semiHidden/>
    <w:unhideWhenUsed/>
    <w:qFormat/>
    <w:rsid w:val="002a1788"/>
    <w:rPr>
      <w:vertAlign w:val="superscript"/>
    </w:rPr>
  </w:style>
  <w:style w:type="character" w:styleId="FootnoteAnchor">
    <w:name w:val="Footnote Anchor"/>
    <w:rPr>
      <w:vertAlign w:val="superscript"/>
    </w:rPr>
  </w:style>
  <w:style w:type="character" w:styleId="Annotationreference">
    <w:name w:val="annotation reference"/>
    <w:basedOn w:val="DefaultParagraphFont"/>
    <w:uiPriority w:val="99"/>
    <w:semiHidden/>
    <w:unhideWhenUsed/>
    <w:qFormat/>
    <w:rsid w:val="00b40c2b"/>
    <w:rPr>
      <w:sz w:val="16"/>
      <w:szCs w:val="16"/>
    </w:rPr>
  </w:style>
  <w:style w:type="character" w:styleId="CommentTextChar" w:customStyle="1">
    <w:name w:val="Comment Text Char"/>
    <w:basedOn w:val="DefaultParagraphFont"/>
    <w:link w:val="CommentText"/>
    <w:uiPriority w:val="99"/>
    <w:semiHidden/>
    <w:qFormat/>
    <w:rsid w:val="00b40c2b"/>
    <w:rPr>
      <w:sz w:val="20"/>
      <w:szCs w:val="20"/>
    </w:rPr>
  </w:style>
  <w:style w:type="character" w:styleId="CommentSubjectChar" w:customStyle="1">
    <w:name w:val="Comment Subject Char"/>
    <w:basedOn w:val="CommentTextChar"/>
    <w:link w:val="CommentSubject"/>
    <w:uiPriority w:val="99"/>
    <w:semiHidden/>
    <w:qFormat/>
    <w:rsid w:val="00b40c2b"/>
    <w:rPr>
      <w:b/>
      <w:bCs/>
      <w:sz w:val="20"/>
      <w:szCs w:val="20"/>
    </w:rPr>
  </w:style>
  <w:style w:type="character" w:styleId="EndnoteTextChar" w:customStyle="1">
    <w:name w:val="Endnote Text Char"/>
    <w:basedOn w:val="DefaultParagraphFont"/>
    <w:link w:val="EndnoteText"/>
    <w:uiPriority w:val="99"/>
    <w:semiHidden/>
    <w:qFormat/>
    <w:rsid w:val="002d610c"/>
    <w:rPr>
      <w:sz w:val="20"/>
      <w:szCs w:val="20"/>
    </w:rPr>
  </w:style>
  <w:style w:type="character" w:styleId="EndnoteCharacters">
    <w:name w:val="Endnote Characters"/>
    <w:basedOn w:val="DefaultParagraphFont"/>
    <w:uiPriority w:val="99"/>
    <w:semiHidden/>
    <w:unhideWhenUsed/>
    <w:qFormat/>
    <w:rsid w:val="002d610c"/>
    <w:rPr>
      <w:vertAlign w:val="superscript"/>
    </w:rPr>
  </w:style>
  <w:style w:type="character" w:styleId="EndnoteAnchor">
    <w:name w:val="Endnote Anchor"/>
    <w:rPr>
      <w:vertAlign w:val="superscript"/>
    </w:rPr>
  </w:style>
  <w:style w:type="character" w:styleId="InternetLink">
    <w:name w:val="Hyperlink"/>
    <w:basedOn w:val="DefaultParagraphFont"/>
    <w:uiPriority w:val="99"/>
    <w:unhideWhenUsed/>
    <w:rsid w:val="009b6367"/>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1f7f8a"/>
    <w:pPr>
      <w:spacing w:before="240" w:after="200"/>
      <w:ind w:left="720" w:hanging="0"/>
      <w:contextualSpacing/>
    </w:pPr>
    <w:rPr/>
  </w:style>
  <w:style w:type="paragraph" w:styleId="BalloonText">
    <w:name w:val="Balloon Text"/>
    <w:basedOn w:val="Normal"/>
    <w:link w:val="BalloonTextChar"/>
    <w:uiPriority w:val="99"/>
    <w:semiHidden/>
    <w:unhideWhenUsed/>
    <w:qFormat/>
    <w:rsid w:val="00663d2a"/>
    <w:pPr>
      <w:spacing w:lineRule="auto" w:line="240" w:before="0" w:after="0"/>
    </w:pPr>
    <w:rPr>
      <w:rFonts w:ascii="Segoe UI" w:hAnsi="Segoe UI" w:cs="Segoe UI"/>
      <w:sz w:val="18"/>
      <w:szCs w:val="18"/>
    </w:rPr>
  </w:style>
  <w:style w:type="paragraph" w:styleId="Footnote">
    <w:name w:val="Footnote Text"/>
    <w:basedOn w:val="Normal"/>
    <w:link w:val="FootnoteTextChar"/>
    <w:uiPriority w:val="99"/>
    <w:semiHidden/>
    <w:unhideWhenUsed/>
    <w:rsid w:val="002a1788"/>
    <w:pPr>
      <w:spacing w:lineRule="auto" w:line="240" w:before="0" w:after="0"/>
    </w:pPr>
    <w:rPr>
      <w:sz w:val="20"/>
      <w:szCs w:val="20"/>
    </w:rPr>
  </w:style>
  <w:style w:type="paragraph" w:styleId="Annotationtext">
    <w:name w:val="annotation text"/>
    <w:basedOn w:val="Normal"/>
    <w:link w:val="CommentTextChar"/>
    <w:uiPriority w:val="99"/>
    <w:semiHidden/>
    <w:unhideWhenUsed/>
    <w:qFormat/>
    <w:rsid w:val="00b40c2b"/>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40c2b"/>
    <w:pPr/>
    <w:rPr>
      <w:b/>
      <w:bCs/>
    </w:rPr>
  </w:style>
  <w:style w:type="paragraph" w:styleId="Endnote">
    <w:name w:val="Endnote Text"/>
    <w:basedOn w:val="Normal"/>
    <w:link w:val="EndnoteTextChar"/>
    <w:uiPriority w:val="99"/>
    <w:semiHidden/>
    <w:unhideWhenUsed/>
    <w:rsid w:val="002d610c"/>
    <w:pPr>
      <w:spacing w:lineRule="auto" w:line="240" w:before="0" w:after="0"/>
    </w:pPr>
    <w:rPr>
      <w:sz w:val="20"/>
      <w:szCs w:val="20"/>
    </w:rPr>
  </w:style>
  <w:style w:type="paragraph" w:styleId="Default" w:customStyle="1">
    <w:name w:val="Default"/>
    <w:qFormat/>
    <w:rsid w:val="00d435d7"/>
    <w:pPr>
      <w:widowControl/>
      <w:bidi w:val="0"/>
      <w:spacing w:lineRule="auto" w:line="240" w:before="0" w:after="0"/>
      <w:jc w:val="left"/>
    </w:pPr>
    <w:rPr>
      <w:rFonts w:ascii="Corbel" w:hAnsi="Corbel" w:cs="Corbe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Nakato@cgiar.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8426-738F-40CF-83B7-0E45D5D0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LibreOffice/7.0.3.1$Linux_X86_64 LibreOffice_project/00$Build-1</Application>
  <Pages>7</Pages>
  <Words>2018</Words>
  <Characters>10187</Characters>
  <CharactersWithSpaces>11907</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2021-06-08T11:49:00Z</dcterms:created>
  <dc:creator>joseph kisitu</dc:creator>
  <dc:description/>
  <dc:language>en-US</dc:language>
  <cp:lastModifiedBy>joseph kisitu</cp:lastModifiedBy>
  <dcterms:modified xsi:type="dcterms:W3CDTF">2021-09-09T18:34:00Z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http://www.zotero.org/styles/plant-disease</vt:lpwstr>
  </property>
  <property fmtid="{D5CDD505-2E9C-101B-9397-08002B2CF9AE}" pid="7" name="Mendeley Document_1">
    <vt:lpwstr>True</vt:lpwstr>
  </property>
  <property fmtid="{D5CDD505-2E9C-101B-9397-08002B2CF9AE}" pid="8" name="Mendeley Recent Style Id 0_1">
    <vt:lpwstr>http://www.zotero.org/styles/apa</vt:lpwstr>
  </property>
  <property fmtid="{D5CDD505-2E9C-101B-9397-08002B2CF9AE}" pid="9" name="Mendeley Recent Style Id 1_1">
    <vt:lpwstr>http://www.zotero.org/styles/american-sociological-association</vt:lpwstr>
  </property>
  <property fmtid="{D5CDD505-2E9C-101B-9397-08002B2CF9AE}" pid="10" name="Mendeley Recent Style Id 2_1">
    <vt:lpwstr>http://www.zotero.org/styles/chicago-author-date</vt:lpwstr>
  </property>
  <property fmtid="{D5CDD505-2E9C-101B-9397-08002B2CF9AE}" pid="11" name="Mendeley Recent Style Id 3_1">
    <vt:lpwstr>http://www.zotero.org/styles/harvard-cite-them-right</vt:lpwstr>
  </property>
  <property fmtid="{D5CDD505-2E9C-101B-9397-08002B2CF9AE}" pid="12" name="Mendeley Recent Style Id 4_1">
    <vt:lpwstr>http://www.zotero.org/styles/ieee</vt:lpwstr>
  </property>
  <property fmtid="{D5CDD505-2E9C-101B-9397-08002B2CF9AE}" pid="13" name="Mendeley Recent Style Id 5_1">
    <vt:lpwstr>http://www.zotero.org/styles/modern-humanities-research-association</vt:lpwstr>
  </property>
  <property fmtid="{D5CDD505-2E9C-101B-9397-08002B2CF9AE}" pid="14" name="Mendeley Recent Style Id 6_1">
    <vt:lpwstr>http://www.zotero.org/styles/modern-language-association</vt:lpwstr>
  </property>
  <property fmtid="{D5CDD505-2E9C-101B-9397-08002B2CF9AE}" pid="15" name="Mendeley Recent Style Id 7_1">
    <vt:lpwstr>http://www.zotero.org/styles/plant-and-cell-physiology</vt:lpwstr>
  </property>
  <property fmtid="{D5CDD505-2E9C-101B-9397-08002B2CF9AE}" pid="16" name="Mendeley Recent Style Id 8_1">
    <vt:lpwstr>http://www.zotero.org/styles/plant-disease</vt:lpwstr>
  </property>
  <property fmtid="{D5CDD505-2E9C-101B-9397-08002B2CF9AE}" pid="17" name="Mendeley Recent Style Id 9_1">
    <vt:lpwstr>http://www.zotero.org/styles/plant-methods</vt:lpwstr>
  </property>
  <property fmtid="{D5CDD505-2E9C-101B-9397-08002B2CF9AE}" pid="18" name="Mendeley Recent Style Name 0_1">
    <vt:lpwstr>American Psychological Association 7th edition</vt:lpwstr>
  </property>
  <property fmtid="{D5CDD505-2E9C-101B-9397-08002B2CF9AE}" pid="19" name="Mendeley Recent Style Name 1_1">
    <vt:lpwstr>American Sociological Association 6th edition</vt:lpwstr>
  </property>
  <property fmtid="{D5CDD505-2E9C-101B-9397-08002B2CF9AE}" pid="20" name="Mendeley Recent Style Name 2_1">
    <vt:lpwstr>Chicago Manual of Style 17th edition (author-date)</vt:lpwstr>
  </property>
  <property fmtid="{D5CDD505-2E9C-101B-9397-08002B2CF9AE}" pid="21" name="Mendeley Recent Style Name 3_1">
    <vt:lpwstr>Cite Them Right 10th edition - Harvard</vt:lpwstr>
  </property>
  <property fmtid="{D5CDD505-2E9C-101B-9397-08002B2CF9AE}" pid="22" name="Mendeley Recent Style Name 4_1">
    <vt:lpwstr>IEEE</vt:lpwstr>
  </property>
  <property fmtid="{D5CDD505-2E9C-101B-9397-08002B2CF9AE}" pid="23" name="Mendeley Recent Style Name 5_1">
    <vt:lpwstr>Modern Humanities Research Association 3rd edition (note with bibliography)</vt:lpwstr>
  </property>
  <property fmtid="{D5CDD505-2E9C-101B-9397-08002B2CF9AE}" pid="24" name="Mendeley Recent Style Name 6_1">
    <vt:lpwstr>Modern Language Association 8th edition</vt:lpwstr>
  </property>
  <property fmtid="{D5CDD505-2E9C-101B-9397-08002B2CF9AE}" pid="25" name="Mendeley Recent Style Name 7_1">
    <vt:lpwstr>Plant &amp; Cell Physiology</vt:lpwstr>
  </property>
  <property fmtid="{D5CDD505-2E9C-101B-9397-08002B2CF9AE}" pid="26" name="Mendeley Recent Style Name 8_1">
    <vt:lpwstr>Plant Disease</vt:lpwstr>
  </property>
  <property fmtid="{D5CDD505-2E9C-101B-9397-08002B2CF9AE}" pid="27" name="Mendeley Recent Style Name 9_1">
    <vt:lpwstr>Plant Methods</vt:lpwstr>
  </property>
  <property fmtid="{D5CDD505-2E9C-101B-9397-08002B2CF9AE}" pid="28" name="Mendeley Unique User Id_1">
    <vt:lpwstr>529dcea7-eb3a-36b8-8a65-265c83d8f5a3</vt:lpwstr>
  </property>
  <property fmtid="{D5CDD505-2E9C-101B-9397-08002B2CF9AE}" pid="29" name="ScaleCrop">
    <vt:bool>0</vt:bool>
  </property>
  <property fmtid="{D5CDD505-2E9C-101B-9397-08002B2CF9AE}" pid="30" name="ShareDoc">
    <vt:bool>0</vt:bool>
  </property>
</Properties>
</file>